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892D" w14:textId="53C7FEB9" w:rsidR="00426D26" w:rsidRDefault="00900405">
      <w:r>
        <w:rPr>
          <w:rFonts w:ascii="Segoe UI" w:hAnsi="Segoe UI" w:cs="Segoe UI"/>
          <w:noProof/>
          <w:sz w:val="18"/>
          <w:szCs w:val="18"/>
        </w:rPr>
        <w:drawing>
          <wp:inline distT="0" distB="0" distL="0" distR="0" wp14:anchorId="64FA1E9E" wp14:editId="26B20750">
            <wp:extent cx="5731510" cy="1243330"/>
            <wp:effectExtent l="0" t="0" r="2540" b="0"/>
            <wp:docPr id="675915493"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15493" name="Picture 1" descr="A blue square with white lines&#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31510" cy="1243330"/>
                    </a:xfrm>
                    <a:prstGeom prst="rect">
                      <a:avLst/>
                    </a:prstGeom>
                    <a:noFill/>
                    <a:ln>
                      <a:noFill/>
                    </a:ln>
                  </pic:spPr>
                </pic:pic>
              </a:graphicData>
            </a:graphic>
          </wp:inline>
        </w:drawing>
      </w:r>
    </w:p>
    <w:p w14:paraId="40529FA9" w14:textId="1AA30328" w:rsidR="00900405" w:rsidRDefault="00900405" w:rsidP="00900405">
      <w:pPr>
        <w:rPr>
          <w:b/>
          <w:bCs/>
        </w:rPr>
      </w:pPr>
      <w:r w:rsidRPr="00900405">
        <w:rPr>
          <w:b/>
          <w:bCs/>
        </w:rPr>
        <w:t>Industry Engagement update – Tranche 2 – Legal Sector</w:t>
      </w:r>
      <w:r w:rsidR="009624C8">
        <w:rPr>
          <w:b/>
          <w:bCs/>
        </w:rPr>
        <w:t xml:space="preserve"> – </w:t>
      </w:r>
      <w:r w:rsidR="00BF22C6">
        <w:rPr>
          <w:b/>
          <w:bCs/>
        </w:rPr>
        <w:t xml:space="preserve"> January 2026 </w:t>
      </w:r>
    </w:p>
    <w:p w14:paraId="563917B2" w14:textId="77777777" w:rsidR="007C51EB" w:rsidRPr="007C51EB" w:rsidRDefault="007C51EB" w:rsidP="007C51EB">
      <w:r w:rsidRPr="007C51EB">
        <w:t>Afternoon everyone</w:t>
      </w:r>
    </w:p>
    <w:p w14:paraId="5B8C3CBC" w14:textId="77777777" w:rsidR="007C51EB" w:rsidRPr="007C51EB" w:rsidRDefault="007C51EB" w:rsidP="007C51EB">
      <w:r w:rsidRPr="007C51EB">
        <w:t>We are now on the final stretch to release, which will include a targeted sentiment testing. This testing will focus on the website user experience and will not be a full review of the content of the program starter kit. We are pursuing targeted, rather than broad, user testing for this so we can meet our commitment to industry to release the kits by the end of January and your members can start reviewing, customising and adopting their AML/CTF programs. </w:t>
      </w:r>
    </w:p>
    <w:p w14:paraId="41A567F3" w14:textId="12730DF5" w:rsidR="007C51EB" w:rsidRPr="007C51EB" w:rsidRDefault="007C51EB" w:rsidP="007C51EB">
      <w:r w:rsidRPr="007C51EB">
        <w:t xml:space="preserve"> AUSTRAC appreciates and values the work you and your members have done to get us to this point. The feedback you have provided has been invaluable and has been incorporated into the final products as follows. </w:t>
      </w:r>
    </w:p>
    <w:p w14:paraId="4D81DD5D" w14:textId="77777777" w:rsidR="007C51EB" w:rsidRPr="007C51EB" w:rsidRDefault="007C51EB" w:rsidP="007C51EB">
      <w:pPr>
        <w:rPr>
          <w:b/>
          <w:bCs/>
        </w:rPr>
      </w:pPr>
      <w:r w:rsidRPr="007C51EB">
        <w:rPr>
          <w:b/>
          <w:bCs/>
        </w:rPr>
        <w:t>User journey</w:t>
      </w:r>
    </w:p>
    <w:p w14:paraId="0859861E" w14:textId="5875D78E" w:rsidR="007C51EB" w:rsidRPr="007C51EB" w:rsidRDefault="007C51EB" w:rsidP="007C51EB">
      <w:r w:rsidRPr="007C51EB">
        <w:t xml:space="preserve">We have developed a user journey that guides businesses through each step they need to take, and provides them with the material they need, to build their own AML/CTF program. We will be ‘blind testing’ this user journey with small businesses in your sector next week. </w:t>
      </w:r>
    </w:p>
    <w:p w14:paraId="6D7AF08E" w14:textId="77777777" w:rsidR="007C51EB" w:rsidRPr="007C51EB" w:rsidRDefault="007C51EB" w:rsidP="007C51EB">
      <w:r w:rsidRPr="007C51EB">
        <w:t xml:space="preserve">As you have requested, this user journey will: </w:t>
      </w:r>
    </w:p>
    <w:p w14:paraId="206B789D" w14:textId="77777777" w:rsidR="007C51EB" w:rsidRPr="007C51EB" w:rsidRDefault="007C51EB" w:rsidP="007C51EB">
      <w:pPr>
        <w:numPr>
          <w:ilvl w:val="0"/>
          <w:numId w:val="8"/>
        </w:numPr>
      </w:pPr>
      <w:r w:rsidRPr="007C51EB">
        <w:rPr>
          <w:u w:val="single"/>
        </w:rPr>
        <w:t>assume no prior knowledge</w:t>
      </w:r>
      <w:r w:rsidRPr="007C51EB">
        <w:t xml:space="preserve"> – information will be provided to a business in segments. Only those program starter kit materials that are relevant to the particular business will be displayed in each stage, along with relevant context and instructions on how to customise the materials to the particular business </w:t>
      </w:r>
    </w:p>
    <w:p w14:paraId="55FEF0C8" w14:textId="77777777" w:rsidR="007C51EB" w:rsidRPr="007C51EB" w:rsidRDefault="007C51EB" w:rsidP="007C51EB">
      <w:pPr>
        <w:numPr>
          <w:ilvl w:val="0"/>
          <w:numId w:val="8"/>
        </w:numPr>
      </w:pPr>
      <w:r w:rsidRPr="007C51EB">
        <w:rPr>
          <w:u w:val="single"/>
        </w:rPr>
        <w:t>leverage what they already do</w:t>
      </w:r>
      <w:r w:rsidRPr="007C51EB">
        <w:t xml:space="preserve"> – a business can either use the materials we provide or uplift their current systems to capture the fields in them  </w:t>
      </w:r>
    </w:p>
    <w:p w14:paraId="30680904" w14:textId="77777777" w:rsidR="007C51EB" w:rsidRPr="007C51EB" w:rsidRDefault="007C51EB" w:rsidP="007C51EB">
      <w:pPr>
        <w:numPr>
          <w:ilvl w:val="0"/>
          <w:numId w:val="8"/>
        </w:numPr>
      </w:pPr>
      <w:r w:rsidRPr="007C51EB">
        <w:rPr>
          <w:u w:val="single"/>
        </w:rPr>
        <w:t>scale the program to their business</w:t>
      </w:r>
      <w:r w:rsidRPr="007C51EB">
        <w:t xml:space="preserve"> – sole practitioners that only take on low or medium risk individual customers can develop and maintain a compliant AML/CTF program that, in most situations, will need just 3 forms (a self-attestation form to complete due diligence on themselves; and an on-boarding form and a due diligence form to complete due diligence on their customer). Businesses with higher risk or more complex customers will need to do more</w:t>
      </w:r>
    </w:p>
    <w:p w14:paraId="222EA88F" w14:textId="77777777" w:rsidR="007C51EB" w:rsidRPr="007C51EB" w:rsidRDefault="007C51EB" w:rsidP="007C51EB">
      <w:pPr>
        <w:numPr>
          <w:ilvl w:val="0"/>
          <w:numId w:val="8"/>
        </w:numPr>
      </w:pPr>
      <w:r w:rsidRPr="007C51EB">
        <w:rPr>
          <w:u w:val="single"/>
        </w:rPr>
        <w:lastRenderedPageBreak/>
        <w:t>provide realistic examples of how the program operates in practice</w:t>
      </w:r>
      <w:r w:rsidRPr="007C51EB">
        <w:t xml:space="preserve"> – providing situations where the ML/TF activity is not immediately obvious, but is uncovered through making further enquires as required by their program</w:t>
      </w:r>
    </w:p>
    <w:p w14:paraId="73054213" w14:textId="77777777" w:rsidR="007C51EB" w:rsidRPr="007C51EB" w:rsidRDefault="007C51EB" w:rsidP="007C51EB">
      <w:pPr>
        <w:numPr>
          <w:ilvl w:val="0"/>
          <w:numId w:val="8"/>
        </w:numPr>
      </w:pPr>
      <w:r w:rsidRPr="007C51EB">
        <w:rPr>
          <w:u w:val="single"/>
        </w:rPr>
        <w:t>visually depict the user journey and implementation process</w:t>
      </w:r>
      <w:r w:rsidRPr="007C51EB">
        <w:t xml:space="preserve"> – through easy-to-follow graphics. </w:t>
      </w:r>
    </w:p>
    <w:p w14:paraId="2BC4C1B9" w14:textId="77777777" w:rsidR="007C51EB" w:rsidRPr="007C51EB" w:rsidRDefault="007C51EB" w:rsidP="007C51EB"/>
    <w:p w14:paraId="3648A28F" w14:textId="77777777" w:rsidR="007C51EB" w:rsidRPr="007C51EB" w:rsidRDefault="007C51EB" w:rsidP="007C51EB">
      <w:pPr>
        <w:rPr>
          <w:b/>
          <w:bCs/>
        </w:rPr>
      </w:pPr>
      <w:r w:rsidRPr="007C51EB">
        <w:rPr>
          <w:b/>
          <w:bCs/>
        </w:rPr>
        <w:t>The program starter kit</w:t>
      </w:r>
    </w:p>
    <w:p w14:paraId="2A512DFA" w14:textId="77777777" w:rsidR="007C51EB" w:rsidRPr="007C51EB" w:rsidRDefault="007C51EB" w:rsidP="007C51EB">
      <w:r w:rsidRPr="007C51EB">
        <w:t xml:space="preserve">The program starter kit has been reworked to be easier to navigate. We heard your feedback that the earlier version of the kit was difficult to navigate. </w:t>
      </w:r>
    </w:p>
    <w:p w14:paraId="2EE96E14" w14:textId="77777777" w:rsidR="007C51EB" w:rsidRPr="007C51EB" w:rsidRDefault="007C51EB" w:rsidP="007C51EB">
      <w:r w:rsidRPr="007C51EB">
        <w:t xml:space="preserve">The kit will now be made up of the following documents, which will be available through the plain language user journey: </w:t>
      </w:r>
    </w:p>
    <w:p w14:paraId="4C30B4F4" w14:textId="77777777" w:rsidR="007C51EB" w:rsidRPr="007C51EB" w:rsidRDefault="007C51EB" w:rsidP="007C51EB">
      <w:pPr>
        <w:numPr>
          <w:ilvl w:val="0"/>
          <w:numId w:val="9"/>
        </w:numPr>
      </w:pPr>
      <w:r w:rsidRPr="007C51EB">
        <w:rPr>
          <w:u w:val="single"/>
        </w:rPr>
        <w:t>The risk assessment</w:t>
      </w:r>
      <w:r w:rsidRPr="007C51EB">
        <w:t xml:space="preserve"> – which outlines the risks the business faces and allows the business to decide which risks it takes on. A lower risk appetite means fewer controls will be required.</w:t>
      </w:r>
    </w:p>
    <w:p w14:paraId="039ADD9F" w14:textId="77777777" w:rsidR="007C51EB" w:rsidRPr="007C51EB" w:rsidRDefault="007C51EB" w:rsidP="007C51EB">
      <w:pPr>
        <w:numPr>
          <w:ilvl w:val="0"/>
          <w:numId w:val="9"/>
        </w:numPr>
      </w:pPr>
      <w:r w:rsidRPr="007C51EB">
        <w:rPr>
          <w:u w:val="single"/>
        </w:rPr>
        <w:t>The policy document</w:t>
      </w:r>
      <w:r w:rsidRPr="007C51EB">
        <w:t xml:space="preserve"> – which will tell the business what it needs to do and when to meet its obligations. </w:t>
      </w:r>
    </w:p>
    <w:p w14:paraId="6734BC3B" w14:textId="77777777" w:rsidR="007C51EB" w:rsidRPr="007C51EB" w:rsidRDefault="007C51EB" w:rsidP="007C51EB">
      <w:pPr>
        <w:numPr>
          <w:ilvl w:val="0"/>
          <w:numId w:val="9"/>
        </w:numPr>
      </w:pPr>
      <w:r w:rsidRPr="007C51EB">
        <w:rPr>
          <w:u w:val="single"/>
        </w:rPr>
        <w:t>The process document</w:t>
      </w:r>
      <w:r w:rsidRPr="007C51EB">
        <w:t xml:space="preserve"> – which provides a standard operating procedure staff can refer to when meeting their obligations.</w:t>
      </w:r>
    </w:p>
    <w:p w14:paraId="6D26085C" w14:textId="77777777" w:rsidR="007C51EB" w:rsidRPr="007C51EB" w:rsidRDefault="007C51EB" w:rsidP="007C51EB">
      <w:pPr>
        <w:numPr>
          <w:ilvl w:val="0"/>
          <w:numId w:val="9"/>
        </w:numPr>
      </w:pPr>
      <w:r w:rsidRPr="007C51EB">
        <w:rPr>
          <w:u w:val="single"/>
        </w:rPr>
        <w:t>Guided forms</w:t>
      </w:r>
      <w:r w:rsidRPr="007C51EB">
        <w:t xml:space="preserve"> – which the business can fill out to meet their obligations. </w:t>
      </w:r>
    </w:p>
    <w:p w14:paraId="2A944ECE" w14:textId="77777777" w:rsidR="007C51EB" w:rsidRPr="007C51EB" w:rsidRDefault="007C51EB" w:rsidP="007C51EB">
      <w:r w:rsidRPr="007C51EB">
        <w:t xml:space="preserve">Once customised to the business and uploaded into their existing systems, these documents work together to create the AML/CTF program that the business uses to: </w:t>
      </w:r>
    </w:p>
    <w:p w14:paraId="169FFBB9" w14:textId="77777777" w:rsidR="007C51EB" w:rsidRPr="007C51EB" w:rsidRDefault="007C51EB" w:rsidP="007C51EB">
      <w:pPr>
        <w:numPr>
          <w:ilvl w:val="0"/>
          <w:numId w:val="10"/>
        </w:numPr>
      </w:pPr>
      <w:r w:rsidRPr="007C51EB">
        <w:t>manage and mitigate the ML/TF risks posed by their customers, and report to AUSTRAC</w:t>
      </w:r>
    </w:p>
    <w:p w14:paraId="1288953E" w14:textId="77777777" w:rsidR="007C51EB" w:rsidRPr="007C51EB" w:rsidRDefault="007C51EB" w:rsidP="007C51EB">
      <w:pPr>
        <w:numPr>
          <w:ilvl w:val="0"/>
          <w:numId w:val="10"/>
        </w:numPr>
      </w:pPr>
      <w:r w:rsidRPr="007C51EB">
        <w:t xml:space="preserve">manage their personnel and assign them to appropriate AML/CTF roles </w:t>
      </w:r>
    </w:p>
    <w:p w14:paraId="1CD2255F" w14:textId="77777777" w:rsidR="007C51EB" w:rsidRPr="007C51EB" w:rsidRDefault="007C51EB" w:rsidP="007C51EB">
      <w:pPr>
        <w:numPr>
          <w:ilvl w:val="0"/>
          <w:numId w:val="10"/>
        </w:numPr>
      </w:pPr>
      <w:r w:rsidRPr="007C51EB">
        <w:t>ensure their program stays up to date as risks change.</w:t>
      </w:r>
    </w:p>
    <w:p w14:paraId="56130C94" w14:textId="77777777" w:rsidR="007C51EB" w:rsidRPr="007C51EB" w:rsidRDefault="007C51EB" w:rsidP="007C51EB">
      <w:r w:rsidRPr="007C51EB">
        <w:t xml:space="preserve">The risk assessment, policy and process documents function as reference documents, which the business consults when filling out the forms and taking action to comply. This is global best practice. As a business becomes familiar with these reference documents and they become more confident with their processes, we expect that they will go straight to using the forms. In this way, we expect compliance to become more straightforward and cost-effective over time. </w:t>
      </w:r>
    </w:p>
    <w:p w14:paraId="45C02010" w14:textId="77777777" w:rsidR="007C51EB" w:rsidRPr="007C51EB" w:rsidRDefault="007C51EB" w:rsidP="007C51EB">
      <w:r w:rsidRPr="007C51EB">
        <w:t>These documents have been revised to:</w:t>
      </w:r>
    </w:p>
    <w:p w14:paraId="769ADF0D" w14:textId="77777777" w:rsidR="007C51EB" w:rsidRPr="007C51EB" w:rsidRDefault="007C51EB" w:rsidP="007C51EB">
      <w:pPr>
        <w:numPr>
          <w:ilvl w:val="0"/>
          <w:numId w:val="11"/>
        </w:numPr>
      </w:pPr>
      <w:r w:rsidRPr="007C51EB">
        <w:lastRenderedPageBreak/>
        <w:t xml:space="preserve">remove timelines not required under legislation (instead requiring action to be done generally ‘as soon as practicable’) </w:t>
      </w:r>
    </w:p>
    <w:p w14:paraId="2E6BDC60" w14:textId="77777777" w:rsidR="007C51EB" w:rsidRPr="007C51EB" w:rsidRDefault="007C51EB" w:rsidP="007C51EB">
      <w:pPr>
        <w:numPr>
          <w:ilvl w:val="0"/>
          <w:numId w:val="11"/>
        </w:numPr>
      </w:pPr>
      <w:r w:rsidRPr="007C51EB">
        <w:t xml:space="preserve">adopt a plain English approach </w:t>
      </w:r>
    </w:p>
    <w:p w14:paraId="7AF22304" w14:textId="77777777" w:rsidR="007C51EB" w:rsidRPr="007C51EB" w:rsidRDefault="007C51EB" w:rsidP="007C51EB">
      <w:pPr>
        <w:numPr>
          <w:ilvl w:val="0"/>
          <w:numId w:val="11"/>
        </w:numPr>
      </w:pPr>
      <w:r w:rsidRPr="007C51EB">
        <w:t xml:space="preserve">give businesses more flexibility in who they appoint to carry out different AML/CTF roles </w:t>
      </w:r>
    </w:p>
    <w:p w14:paraId="36364FFB" w14:textId="77777777" w:rsidR="007C51EB" w:rsidRPr="007C51EB" w:rsidRDefault="007C51EB" w:rsidP="007C51EB">
      <w:pPr>
        <w:numPr>
          <w:ilvl w:val="0"/>
          <w:numId w:val="11"/>
        </w:numPr>
      </w:pPr>
      <w:r w:rsidRPr="007C51EB">
        <w:t>simplify and scale back the requirements for pre-commencement customer due diligence.</w:t>
      </w:r>
    </w:p>
    <w:p w14:paraId="5CA73004" w14:textId="77777777" w:rsidR="007C51EB" w:rsidRPr="007C51EB" w:rsidRDefault="007C51EB" w:rsidP="007C51EB"/>
    <w:p w14:paraId="14E9EF82" w14:textId="77777777" w:rsidR="007C51EB" w:rsidRPr="007C51EB" w:rsidRDefault="007C51EB" w:rsidP="007C51EB">
      <w:pPr>
        <w:rPr>
          <w:b/>
          <w:bCs/>
        </w:rPr>
      </w:pPr>
      <w:r w:rsidRPr="007C51EB">
        <w:rPr>
          <w:b/>
          <w:bCs/>
        </w:rPr>
        <w:t xml:space="preserve">Sector-specific issues </w:t>
      </w:r>
    </w:p>
    <w:p w14:paraId="3110CDF1" w14:textId="77777777" w:rsidR="007C51EB" w:rsidRPr="007C51EB" w:rsidRDefault="007C51EB" w:rsidP="007C51EB">
      <w:pPr>
        <w:rPr>
          <w:u w:val="single"/>
        </w:rPr>
      </w:pPr>
      <w:r w:rsidRPr="007C51EB">
        <w:rPr>
          <w:u w:val="single"/>
        </w:rPr>
        <w:t xml:space="preserve">For lawyers, we have: </w:t>
      </w:r>
    </w:p>
    <w:p w14:paraId="6CB9551D" w14:textId="77777777" w:rsidR="007C51EB" w:rsidRPr="007C51EB" w:rsidRDefault="007C51EB" w:rsidP="007C51EB">
      <w:pPr>
        <w:numPr>
          <w:ilvl w:val="0"/>
          <w:numId w:val="12"/>
        </w:numPr>
      </w:pPr>
      <w:r w:rsidRPr="007C51EB">
        <w:t xml:space="preserve">worked with the Office of the Australian Information Commissioner to adopt privacy policies that allow a lawyer to complete customer due diligence when onboarding clients </w:t>
      </w:r>
    </w:p>
    <w:p w14:paraId="1D032D14" w14:textId="77777777" w:rsidR="007C51EB" w:rsidRPr="007C51EB" w:rsidRDefault="007C51EB" w:rsidP="007C51EB">
      <w:pPr>
        <w:numPr>
          <w:ilvl w:val="0"/>
          <w:numId w:val="12"/>
        </w:numPr>
      </w:pPr>
      <w:r w:rsidRPr="007C51EB">
        <w:t>developed instructions to customise the program to a mixed practice that provides both conveyancing and other professional services (e.g. creating body corporates or legal arrangements)</w:t>
      </w:r>
    </w:p>
    <w:p w14:paraId="1DE50F57" w14:textId="77777777" w:rsidR="007C51EB" w:rsidRPr="007C51EB" w:rsidRDefault="007C51EB" w:rsidP="007C51EB">
      <w:pPr>
        <w:numPr>
          <w:ilvl w:val="0"/>
          <w:numId w:val="12"/>
        </w:numPr>
      </w:pPr>
      <w:r w:rsidRPr="007C51EB">
        <w:t>removed litigation manipulation as a methodology from the risk assessment. Following feedback, we have assessed that this is unlikely to apply to the designated services specified in the Act</w:t>
      </w:r>
    </w:p>
    <w:p w14:paraId="778A437C" w14:textId="77777777" w:rsidR="007C51EB" w:rsidRPr="007C51EB" w:rsidRDefault="007C51EB" w:rsidP="007C51EB">
      <w:pPr>
        <w:numPr>
          <w:ilvl w:val="0"/>
          <w:numId w:val="12"/>
        </w:numPr>
      </w:pPr>
      <w:r w:rsidRPr="007C51EB">
        <w:t>recognised legal practitioners for the purposes of personnel due diligence requirements and pared back the requirements for personnel due diligence. For a sole practitioner, this is now just a self-attestation form</w:t>
      </w:r>
    </w:p>
    <w:p w14:paraId="0E4BE5CF" w14:textId="77777777" w:rsidR="007C51EB" w:rsidRPr="007C51EB" w:rsidRDefault="007C51EB" w:rsidP="007C51EB">
      <w:pPr>
        <w:numPr>
          <w:ilvl w:val="0"/>
          <w:numId w:val="12"/>
        </w:numPr>
      </w:pPr>
      <w:r w:rsidRPr="007C51EB">
        <w:t>ensured tipping off provisions don’t limit the ability of legal practitioners to obtain legal advice about those provisions</w:t>
      </w:r>
    </w:p>
    <w:p w14:paraId="10BBF01F" w14:textId="77777777" w:rsidR="007C51EB" w:rsidRPr="007C51EB" w:rsidRDefault="007C51EB" w:rsidP="007C51EB">
      <w:pPr>
        <w:numPr>
          <w:ilvl w:val="0"/>
          <w:numId w:val="12"/>
        </w:numPr>
      </w:pPr>
      <w:r w:rsidRPr="007C51EB">
        <w:t>included content on legal professional privilege across the program, including in relevant forms</w:t>
      </w:r>
    </w:p>
    <w:p w14:paraId="14F79867" w14:textId="77777777" w:rsidR="007C51EB" w:rsidRPr="007C51EB" w:rsidRDefault="007C51EB" w:rsidP="007C51EB">
      <w:pPr>
        <w:numPr>
          <w:ilvl w:val="0"/>
          <w:numId w:val="12"/>
        </w:numPr>
      </w:pPr>
      <w:r w:rsidRPr="007C51EB">
        <w:t>removed content in the off-boarding policy, noting that the Law Council of Australia is developing a position that better aligns with lawyer’s professional ethical obligations</w:t>
      </w:r>
    </w:p>
    <w:p w14:paraId="799E514D" w14:textId="77777777" w:rsidR="007C51EB" w:rsidRPr="007C51EB" w:rsidRDefault="007C51EB" w:rsidP="007C51EB">
      <w:pPr>
        <w:numPr>
          <w:ilvl w:val="0"/>
          <w:numId w:val="12"/>
        </w:numPr>
      </w:pPr>
      <w:r w:rsidRPr="007C51EB">
        <w:t xml:space="preserve">in response to the request to extend effectiveness checks from quarterly to annually, we have adopted a position that requires a quarterly assessment until a business is satisfied they are compliant, when the requirement will reduce to an annual assessment. This strikes a balance between managing risks and </w:t>
      </w:r>
      <w:r w:rsidRPr="007C51EB">
        <w:lastRenderedPageBreak/>
        <w:t>regulatory burden, by ensuring that businesses have the right controls in place before reducing the frequency of checks.</w:t>
      </w:r>
    </w:p>
    <w:p w14:paraId="62EB09D1" w14:textId="77777777" w:rsidR="007C51EB" w:rsidRPr="007C51EB" w:rsidRDefault="007C51EB" w:rsidP="007C51EB">
      <w:r w:rsidRPr="007C51EB">
        <w:t xml:space="preserve">AUSTRAC’s priority remains reducing and managing money laundering and terrorism financing risks. Our intention is that the program starter kits will enable your members to develop, use and maintain an AML/CTF program that is effective. Applying an effective program will enable your members to play an integral role in safeguarding the Australian community and economy. </w:t>
      </w:r>
    </w:p>
    <w:p w14:paraId="746FCB34" w14:textId="77777777" w:rsidR="007C51EB" w:rsidRPr="007C51EB" w:rsidRDefault="007C51EB" w:rsidP="007C51EB">
      <w:r w:rsidRPr="007C51EB">
        <w:t xml:space="preserve">The program starter kits are the first time a regulator, anywhere in the world, has provided this type of resource to regulated businesses. We intend to improve them over time, as your members use the program starter kits and develop real life experience in how money laundering risks arise in their businesses. We look forward to your ongoing feedback about the program starter kits so we can understand your members’ experience in using them and how we can maintain them as a useful resource to your members. </w:t>
      </w:r>
    </w:p>
    <w:p w14:paraId="71C2011C" w14:textId="6B9319F9" w:rsidR="004D0EC4" w:rsidRDefault="007C51EB" w:rsidP="00900405">
      <w:r>
        <w:t>…………..</w:t>
      </w:r>
    </w:p>
    <w:p w14:paraId="51824B20" w14:textId="02928AB2" w:rsidR="00BF22C6" w:rsidRDefault="008C3107" w:rsidP="00900405">
      <w:r>
        <w:t xml:space="preserve">Below is a </w:t>
      </w:r>
      <w:r w:rsidRPr="008C3107">
        <w:t>copy of the communication that was disseminated</w:t>
      </w:r>
      <w:r w:rsidR="007C51EB">
        <w:t xml:space="preserve"> from AUSTRAC</w:t>
      </w:r>
      <w:r w:rsidRPr="008C3107">
        <w:t xml:space="preserve"> to Australian Business Register contacts.</w:t>
      </w:r>
    </w:p>
    <w:p w14:paraId="7690C5F7" w14:textId="77777777" w:rsidR="00742F81" w:rsidRPr="00742F81" w:rsidRDefault="00742F81" w:rsidP="00742F81">
      <w:r w:rsidRPr="00742F81">
        <w:t xml:space="preserve">It’s less than 6 months until the new financial crime laws come into effect for newly regulated businesses. We trust that you’ve started to prepare. </w:t>
      </w:r>
      <w:r w:rsidRPr="00742F81">
        <w:br/>
      </w:r>
      <w:r w:rsidRPr="00742F81">
        <w:br/>
      </w:r>
      <w:r w:rsidRPr="00742F81">
        <w:rPr>
          <w:b/>
          <w:bCs/>
        </w:rPr>
        <w:t>Who are we</w:t>
      </w:r>
      <w:r w:rsidRPr="00742F81">
        <w:br/>
      </w:r>
      <w:r w:rsidRPr="00742F81">
        <w:br/>
        <w:t xml:space="preserve">As Australia’s </w:t>
      </w:r>
      <w:hyperlink r:id="rId9" w:tooltip="anti-money laundering and counter-terrorism financing (AML/CTF) regulator" w:history="1">
        <w:r w:rsidRPr="00742F81">
          <w:rPr>
            <w:rStyle w:val="Hyperlink"/>
          </w:rPr>
          <w:t>anti-money laundering and counter-terrorism financing (AML/CTF) regulator</w:t>
        </w:r>
      </w:hyperlink>
      <w:r w:rsidRPr="00742F81">
        <w:t>, we have been regulating businesses and using financial intelligence for over 30 years to disrupt money laundering, terrorism financing and other serious crime.</w:t>
      </w:r>
      <w:r w:rsidRPr="00742F81">
        <w:br/>
      </w:r>
      <w:r w:rsidRPr="00742F81">
        <w:br/>
        <w:t xml:space="preserve">According to the </w:t>
      </w:r>
      <w:hyperlink r:id="rId10" w:tooltip="Australian Business Register" w:history="1">
        <w:r w:rsidRPr="00742F81">
          <w:rPr>
            <w:rStyle w:val="Hyperlink"/>
          </w:rPr>
          <w:t>Australian Business Register</w:t>
        </w:r>
      </w:hyperlink>
      <w:r w:rsidRPr="00742F81">
        <w:t xml:space="preserve"> data, your business may be affected as our regulated population expands to include certain designated services typically provided by:</w:t>
      </w:r>
    </w:p>
    <w:p w14:paraId="2B078B0B" w14:textId="77777777" w:rsidR="00742F81" w:rsidRPr="00742F81" w:rsidRDefault="00742F81" w:rsidP="00742F81">
      <w:pPr>
        <w:numPr>
          <w:ilvl w:val="0"/>
          <w:numId w:val="4"/>
        </w:numPr>
      </w:pPr>
      <w:r w:rsidRPr="00742F81">
        <w:t>real estate professionals</w:t>
      </w:r>
    </w:p>
    <w:p w14:paraId="5B6DF7A4" w14:textId="77777777" w:rsidR="00742F81" w:rsidRPr="00742F81" w:rsidRDefault="00742F81" w:rsidP="00742F81">
      <w:pPr>
        <w:numPr>
          <w:ilvl w:val="0"/>
          <w:numId w:val="4"/>
        </w:numPr>
      </w:pPr>
      <w:r w:rsidRPr="00742F81">
        <w:t>dealers in precious stones, metals and products</w:t>
      </w:r>
    </w:p>
    <w:p w14:paraId="24C235D5" w14:textId="77777777" w:rsidR="00742F81" w:rsidRPr="00742F81" w:rsidRDefault="00742F81" w:rsidP="00742F81">
      <w:pPr>
        <w:numPr>
          <w:ilvl w:val="0"/>
          <w:numId w:val="4"/>
        </w:numPr>
      </w:pPr>
      <w:r w:rsidRPr="00742F81">
        <w:t xml:space="preserve">lawyers and conveyancers </w:t>
      </w:r>
    </w:p>
    <w:p w14:paraId="4997EB65" w14:textId="77777777" w:rsidR="00742F81" w:rsidRPr="00742F81" w:rsidRDefault="00742F81" w:rsidP="00742F81">
      <w:pPr>
        <w:numPr>
          <w:ilvl w:val="0"/>
          <w:numId w:val="4"/>
        </w:numPr>
      </w:pPr>
      <w:r w:rsidRPr="00742F81">
        <w:t xml:space="preserve">accountants, trust and company service providers. </w:t>
      </w:r>
    </w:p>
    <w:tbl>
      <w:tblPr>
        <w:tblW w:w="7500" w:type="dxa"/>
        <w:tblBorders>
          <w:top w:val="single" w:sz="6" w:space="0" w:color="000000"/>
          <w:left w:val="single" w:sz="6" w:space="0" w:color="000000"/>
          <w:bottom w:val="single" w:sz="6" w:space="0" w:color="000000"/>
          <w:right w:val="single" w:sz="6" w:space="0" w:color="000000"/>
        </w:tblBorders>
        <w:shd w:val="clear" w:color="auto" w:fill="D8E6E6"/>
        <w:tblCellMar>
          <w:top w:w="180" w:type="dxa"/>
          <w:left w:w="180" w:type="dxa"/>
          <w:bottom w:w="180" w:type="dxa"/>
          <w:right w:w="180" w:type="dxa"/>
        </w:tblCellMar>
        <w:tblLook w:val="04A0" w:firstRow="1" w:lastRow="0" w:firstColumn="1" w:lastColumn="0" w:noHBand="0" w:noVBand="1"/>
      </w:tblPr>
      <w:tblGrid>
        <w:gridCol w:w="7500"/>
      </w:tblGrid>
      <w:tr w:rsidR="00742F81" w:rsidRPr="00742F81" w14:paraId="6018B1FC" w14:textId="77777777">
        <w:tc>
          <w:tcPr>
            <w:tcW w:w="0" w:type="auto"/>
            <w:tcBorders>
              <w:top w:val="single" w:sz="6" w:space="0" w:color="000000"/>
              <w:left w:val="single" w:sz="6" w:space="0" w:color="000000"/>
              <w:bottom w:val="single" w:sz="6" w:space="0" w:color="000000"/>
              <w:right w:val="single" w:sz="6" w:space="0" w:color="000000"/>
            </w:tcBorders>
            <w:shd w:val="clear" w:color="auto" w:fill="D8E6E6"/>
            <w:vAlign w:val="center"/>
            <w:hideMark/>
          </w:tcPr>
          <w:p w14:paraId="642E5250" w14:textId="77777777" w:rsidR="00742F81" w:rsidRPr="00742F81" w:rsidRDefault="00742F81" w:rsidP="00742F81">
            <w:r w:rsidRPr="00742F81">
              <w:rPr>
                <w:b/>
                <w:bCs/>
              </w:rPr>
              <w:lastRenderedPageBreak/>
              <w:t xml:space="preserve">Use </w:t>
            </w:r>
            <w:hyperlink r:id="rId11" w:tooltip="our tool" w:history="1">
              <w:r w:rsidRPr="00742F81">
                <w:rPr>
                  <w:rStyle w:val="Hyperlink"/>
                  <w:b/>
                  <w:bCs/>
                </w:rPr>
                <w:t>our tool</w:t>
              </w:r>
            </w:hyperlink>
            <w:r w:rsidRPr="00742F81">
              <w:rPr>
                <w:b/>
                <w:bCs/>
              </w:rPr>
              <w:t xml:space="preserve"> to see if you will be regulated under the AML/CTF laws from 1 July 2026.</w:t>
            </w:r>
          </w:p>
        </w:tc>
      </w:tr>
    </w:tbl>
    <w:p w14:paraId="2E70F21B" w14:textId="77777777" w:rsidR="00742F81" w:rsidRPr="00742F81" w:rsidRDefault="00742F81" w:rsidP="00742F81">
      <w:r w:rsidRPr="00742F81">
        <w:br/>
      </w:r>
      <w:r w:rsidRPr="00742F81">
        <w:rPr>
          <w:b/>
          <w:bCs/>
        </w:rPr>
        <w:t>Purpose of new industries being regulated</w:t>
      </w:r>
      <w:r w:rsidRPr="00742F81">
        <w:br/>
      </w:r>
      <w:r w:rsidRPr="00742F81">
        <w:br/>
        <w:t>Right now, there are large gaps in our financial system that criminals are exploiting, and Australia is out of step with global financial crime standards.</w:t>
      </w:r>
      <w:r w:rsidRPr="00742F81">
        <w:br/>
      </w:r>
      <w:r w:rsidRPr="00742F81">
        <w:br/>
        <w:t xml:space="preserve">Criminal networks often use business’ services to disguise the criminal origins of their funds and reinvest them in more criminal activity. This makes detection harder. </w:t>
      </w:r>
      <w:r w:rsidRPr="00742F81">
        <w:br/>
      </w:r>
      <w:r w:rsidRPr="00742F81">
        <w:br/>
        <w:t>That’s why your involvement, alongside law enforcement and government agencies globally and locally, helps us paint a better intelligence picture. This allows us to detect and disrupt financially enabled crime faster, such as child exploitation and drug trafficking.</w:t>
      </w:r>
    </w:p>
    <w:p w14:paraId="3E04BC51" w14:textId="77777777" w:rsidR="00742F81" w:rsidRPr="00742F81" w:rsidRDefault="00742F81" w:rsidP="00742F81">
      <w:r w:rsidRPr="00742F81">
        <w:rPr>
          <w:b/>
          <w:bCs/>
        </w:rPr>
        <w:t>Getting ready for financial regulation</w:t>
      </w:r>
      <w:r w:rsidRPr="00742F81">
        <w:br/>
      </w:r>
      <w:r w:rsidRPr="00742F81">
        <w:br/>
        <w:t xml:space="preserve">We are here to help you prepare for the AML/CTF laws and we’ve been busy working to provide you with the material, steps and support needed to get compliance ready by 1 July 2026. </w:t>
      </w:r>
      <w:r w:rsidRPr="00742F81">
        <w:br/>
      </w:r>
      <w:r w:rsidRPr="00742F81">
        <w:br/>
      </w:r>
      <w:r w:rsidRPr="00742F81">
        <w:rPr>
          <w:b/>
          <w:bCs/>
        </w:rPr>
        <w:t>Step 1:</w:t>
      </w:r>
      <w:r w:rsidRPr="00742F81">
        <w:t xml:space="preserve"> </w:t>
      </w:r>
      <w:hyperlink r:id="rId12" w:tooltip="Check if you’ll be regulated" w:history="1">
        <w:r w:rsidRPr="00742F81">
          <w:rPr>
            <w:rStyle w:val="Hyperlink"/>
          </w:rPr>
          <w:t>Check if you’ll be regulated</w:t>
        </w:r>
      </w:hyperlink>
      <w:r w:rsidRPr="00742F81">
        <w:t xml:space="preserve"> </w:t>
      </w:r>
      <w:r w:rsidRPr="00742F81">
        <w:br/>
      </w:r>
      <w:r w:rsidRPr="00742F81">
        <w:rPr>
          <w:b/>
          <w:bCs/>
        </w:rPr>
        <w:t>Step 2:</w:t>
      </w:r>
      <w:r w:rsidRPr="00742F81">
        <w:t xml:space="preserve"> Visit our </w:t>
      </w:r>
      <w:hyperlink r:id="rId13" w:tooltip="Reforms hub" w:history="1">
        <w:r w:rsidRPr="00742F81">
          <w:rPr>
            <w:rStyle w:val="Hyperlink"/>
          </w:rPr>
          <w:t>Reforms hub</w:t>
        </w:r>
      </w:hyperlink>
      <w:r w:rsidRPr="00742F81">
        <w:t xml:space="preserve"> webpage to better understand the law and changes</w:t>
      </w:r>
      <w:r w:rsidRPr="00742F81">
        <w:br/>
      </w:r>
      <w:r w:rsidRPr="00742F81">
        <w:rPr>
          <w:b/>
          <w:bCs/>
        </w:rPr>
        <w:t>Step 3:</w:t>
      </w:r>
      <w:r w:rsidRPr="00742F81">
        <w:t xml:space="preserve"> Watch our introductory </w:t>
      </w:r>
      <w:hyperlink r:id="rId14" w:tooltip="webinar recordings" w:history="1">
        <w:r w:rsidRPr="00742F81">
          <w:rPr>
            <w:rStyle w:val="Hyperlink"/>
          </w:rPr>
          <w:t>webinar recordings</w:t>
        </w:r>
      </w:hyperlink>
      <w:r w:rsidRPr="00742F81">
        <w:t xml:space="preserve"> </w:t>
      </w:r>
      <w:r w:rsidRPr="00742F81">
        <w:br/>
      </w:r>
      <w:r w:rsidRPr="00742F81">
        <w:rPr>
          <w:b/>
          <w:bCs/>
        </w:rPr>
        <w:t>Step 4:</w:t>
      </w:r>
      <w:r w:rsidRPr="00742F81">
        <w:t xml:space="preserve"> Read the </w:t>
      </w:r>
      <w:hyperlink r:id="rId15" w:tooltip="reforms guidance" w:history="1">
        <w:r w:rsidRPr="00742F81">
          <w:rPr>
            <w:rStyle w:val="Hyperlink"/>
          </w:rPr>
          <w:t>reforms guidance</w:t>
        </w:r>
      </w:hyperlink>
      <w:r w:rsidRPr="00742F81">
        <w:t xml:space="preserve"> to understand your obligations and the steps required to comply. Before you begin, </w:t>
      </w:r>
      <w:hyperlink r:id="rId16" w:tooltip="learn how to use this guidance" w:history="1">
        <w:r w:rsidRPr="00742F81">
          <w:rPr>
            <w:rStyle w:val="Hyperlink"/>
          </w:rPr>
          <w:t>learn how to use this guidance</w:t>
        </w:r>
      </w:hyperlink>
      <w:r w:rsidRPr="00742F81">
        <w:t>.</w:t>
      </w:r>
      <w:r w:rsidRPr="00742F81">
        <w:br/>
      </w:r>
      <w:r w:rsidRPr="00742F81">
        <w:br/>
        <w:t xml:space="preserve">Change takes time so we would like to encourage you to start preparing and speaking to your staff and customers if you haven’t already. </w:t>
      </w:r>
      <w:r w:rsidRPr="00742F81">
        <w:br/>
      </w:r>
      <w:r w:rsidRPr="00742F81">
        <w:br/>
      </w:r>
      <w:r w:rsidRPr="00742F81">
        <w:rPr>
          <w:b/>
          <w:bCs/>
        </w:rPr>
        <w:t>Program starter kits</w:t>
      </w:r>
      <w:r w:rsidRPr="00742F81">
        <w:br/>
      </w:r>
      <w:r w:rsidRPr="00742F81">
        <w:br/>
        <w:t xml:space="preserve">Regulated businesses must develop an AML/CTF program to comply with their obligations and manage their risks. This is a living document that that covers how the business will meet its obligations. </w:t>
      </w:r>
      <w:r w:rsidRPr="00742F81">
        <w:br/>
      </w:r>
      <w:r w:rsidRPr="00742F81">
        <w:br/>
        <w:t>We are releasing program starter kits to help smaller, lower complexity businesses develop this document. This will help small businesses reduce the time, cost and effort involved in developing their AML/CTF program.</w:t>
      </w:r>
      <w:r w:rsidRPr="00742F81">
        <w:br/>
      </w:r>
      <w:r w:rsidRPr="00742F81">
        <w:lastRenderedPageBreak/>
        <w:br/>
        <w:t>The kits will be released in the coming weeks and include:</w:t>
      </w:r>
    </w:p>
    <w:p w14:paraId="56B94657" w14:textId="77777777" w:rsidR="00742F81" w:rsidRPr="00742F81" w:rsidRDefault="00742F81" w:rsidP="00742F81">
      <w:pPr>
        <w:numPr>
          <w:ilvl w:val="0"/>
          <w:numId w:val="5"/>
        </w:numPr>
      </w:pPr>
      <w:r w:rsidRPr="00742F81">
        <w:t xml:space="preserve">a risk assessment – outlining the typical ML/TF risks faced by your business </w:t>
      </w:r>
    </w:p>
    <w:p w14:paraId="1CCC6C6C" w14:textId="77777777" w:rsidR="00742F81" w:rsidRPr="00742F81" w:rsidRDefault="00742F81" w:rsidP="00742F81">
      <w:pPr>
        <w:numPr>
          <w:ilvl w:val="0"/>
          <w:numId w:val="5"/>
        </w:numPr>
      </w:pPr>
      <w:r w:rsidRPr="00742F81">
        <w:t xml:space="preserve">a policy document – outlining what to do and when, to meet your business’ obligations. </w:t>
      </w:r>
    </w:p>
    <w:p w14:paraId="69682587" w14:textId="77777777" w:rsidR="00742F81" w:rsidRPr="00742F81" w:rsidRDefault="00742F81" w:rsidP="00742F81">
      <w:pPr>
        <w:numPr>
          <w:ilvl w:val="0"/>
          <w:numId w:val="5"/>
        </w:numPr>
      </w:pPr>
      <w:r w:rsidRPr="00742F81">
        <w:t xml:space="preserve">a process document and forms – that you can use directly, or upload into existing systems, to practically meet your obligations each day. </w:t>
      </w:r>
    </w:p>
    <w:p w14:paraId="5B749205" w14:textId="77777777" w:rsidR="00742F81" w:rsidRPr="00742F81" w:rsidRDefault="00742F81" w:rsidP="00742F81">
      <w:r w:rsidRPr="00742F81">
        <w:t xml:space="preserve">Larger, more complex businesses can use these kits for practical, sector-specific examples and informative resources. </w:t>
      </w:r>
    </w:p>
    <w:p w14:paraId="2212ABD3" w14:textId="77777777" w:rsidR="00742F81" w:rsidRPr="00742F81" w:rsidRDefault="00742F81" w:rsidP="00742F81">
      <w:r w:rsidRPr="00742F81">
        <w:rPr>
          <w:b/>
          <w:bCs/>
        </w:rPr>
        <w:t>Reforms education materials and resources</w:t>
      </w:r>
      <w:r w:rsidRPr="00742F81">
        <w:br/>
      </w:r>
      <w:r w:rsidRPr="00742F81">
        <w:br/>
        <w:t xml:space="preserve">We have a range of new helpful resources on our </w:t>
      </w:r>
      <w:hyperlink r:id="rId17" w:tooltip="Education about the reforms" w:history="1">
        <w:r w:rsidRPr="00742F81">
          <w:rPr>
            <w:rStyle w:val="Hyperlink"/>
          </w:rPr>
          <w:t>Education about the reforms</w:t>
        </w:r>
      </w:hyperlink>
      <w:r w:rsidRPr="00742F81">
        <w:t xml:space="preserve"> page including: </w:t>
      </w:r>
    </w:p>
    <w:p w14:paraId="4156879B" w14:textId="77777777" w:rsidR="00742F81" w:rsidRPr="00742F81" w:rsidRDefault="00742F81" w:rsidP="00742F81">
      <w:pPr>
        <w:numPr>
          <w:ilvl w:val="0"/>
          <w:numId w:val="6"/>
        </w:numPr>
      </w:pPr>
      <w:hyperlink r:id="rId18" w:tooltip="AML/CTF program quick guide" w:history="1">
        <w:r w:rsidRPr="00742F81">
          <w:rPr>
            <w:rStyle w:val="Hyperlink"/>
          </w:rPr>
          <w:t>AML/CTF program quick guide</w:t>
        </w:r>
      </w:hyperlink>
      <w:r w:rsidRPr="00742F81">
        <w:t xml:space="preserve"> provides an overview of the components required in your AML/CTF program</w:t>
      </w:r>
    </w:p>
    <w:p w14:paraId="2F9D29DD" w14:textId="77777777" w:rsidR="00742F81" w:rsidRPr="00742F81" w:rsidRDefault="00742F81" w:rsidP="00742F81">
      <w:pPr>
        <w:numPr>
          <w:ilvl w:val="0"/>
          <w:numId w:val="6"/>
        </w:numPr>
      </w:pPr>
      <w:hyperlink r:id="rId19" w:tooltip="AML/CTF governance oversight factsheets" w:history="1">
        <w:r w:rsidRPr="00742F81">
          <w:rPr>
            <w:rStyle w:val="Hyperlink"/>
          </w:rPr>
          <w:t>AML/CTF governance oversight factsheets</w:t>
        </w:r>
      </w:hyperlink>
      <w:r w:rsidRPr="00742F81">
        <w:t xml:space="preserve"> on the roles of governing bodies, senior managers and AML/CTF compliance officers. </w:t>
      </w:r>
    </w:p>
    <w:p w14:paraId="3B5BD3FC" w14:textId="77777777" w:rsidR="00742F81" w:rsidRPr="00742F81" w:rsidRDefault="00742F81" w:rsidP="00742F81">
      <w:r w:rsidRPr="00742F81">
        <w:rPr>
          <w:b/>
          <w:bCs/>
        </w:rPr>
        <w:t>Resources coming soon are</w:t>
      </w:r>
    </w:p>
    <w:p w14:paraId="4CE03613" w14:textId="77777777" w:rsidR="00742F81" w:rsidRPr="00742F81" w:rsidRDefault="00742F81" w:rsidP="00742F81">
      <w:pPr>
        <w:numPr>
          <w:ilvl w:val="0"/>
          <w:numId w:val="7"/>
        </w:numPr>
      </w:pPr>
      <w:r w:rsidRPr="00742F81">
        <w:rPr>
          <w:b/>
          <w:bCs/>
        </w:rPr>
        <w:t>Customer due diligence video</w:t>
      </w:r>
      <w:r w:rsidRPr="00742F81">
        <w:t xml:space="preserve"> introduces each type of customer due diligence, as well as information on customer risk assessment obligations and key terminology to know</w:t>
      </w:r>
    </w:p>
    <w:p w14:paraId="50875456" w14:textId="77777777" w:rsidR="00742F81" w:rsidRPr="00742F81" w:rsidRDefault="00742F81" w:rsidP="00742F81">
      <w:pPr>
        <w:numPr>
          <w:ilvl w:val="0"/>
          <w:numId w:val="7"/>
        </w:numPr>
      </w:pPr>
      <w:r w:rsidRPr="00742F81">
        <w:rPr>
          <w:b/>
          <w:bCs/>
        </w:rPr>
        <w:t>Interactive risk assessment methodology factsheets and webinar</w:t>
      </w:r>
      <w:r w:rsidRPr="00742F81">
        <w:t xml:space="preserve"> to support your business to develop its money laundering and terrorism financing risk assessment </w:t>
      </w:r>
    </w:p>
    <w:p w14:paraId="72BB547C" w14:textId="77777777" w:rsidR="00742F81" w:rsidRPr="00742F81" w:rsidRDefault="00742F81" w:rsidP="00742F81">
      <w:pPr>
        <w:numPr>
          <w:ilvl w:val="0"/>
          <w:numId w:val="7"/>
        </w:numPr>
      </w:pPr>
      <w:r w:rsidRPr="00742F81">
        <w:rPr>
          <w:b/>
          <w:bCs/>
        </w:rPr>
        <w:t>Customer due diligence webinar series</w:t>
      </w:r>
      <w:r w:rsidRPr="00742F81">
        <w:t xml:space="preserve"> covers initial, simplified, ongoing and enhanced customer due diligence obligations.</w:t>
      </w:r>
    </w:p>
    <w:p w14:paraId="04C20C05" w14:textId="17A512CF" w:rsidR="00742F81" w:rsidRDefault="00742F81" w:rsidP="00742F81">
      <w:r w:rsidRPr="00742F81">
        <w:rPr>
          <w:b/>
          <w:bCs/>
        </w:rPr>
        <w:t xml:space="preserve">When to enrol </w:t>
      </w:r>
      <w:r w:rsidRPr="00742F81">
        <w:br/>
      </w:r>
      <w:r w:rsidRPr="00742F81">
        <w:br/>
        <w:t>Enrolment for your industry is open between 31 March 2026 until 29 July 2026. If you will be regulated by AUSTRAC under these reforms, you must enrol your business with us.</w:t>
      </w:r>
      <w:r w:rsidRPr="00742F81">
        <w:br/>
      </w:r>
      <w:r w:rsidRPr="00742F81">
        <w:br/>
        <w:t>In the coming weeks we will share what information you should begin to gather ahead of enrolment opening.</w:t>
      </w:r>
      <w:r w:rsidRPr="00742F81">
        <w:br/>
      </w:r>
      <w:r w:rsidRPr="00742F81">
        <w:br/>
        <w:t>Together, we can stop crime where it hides.</w:t>
      </w:r>
    </w:p>
    <w:p w14:paraId="1D7123A1" w14:textId="45676745" w:rsidR="004D0EC4" w:rsidRPr="004D0EC4" w:rsidRDefault="004D0EC4" w:rsidP="004D0EC4">
      <w:r w:rsidRPr="004D0EC4">
        <w:lastRenderedPageBreak/>
        <w:drawing>
          <wp:inline distT="0" distB="0" distL="0" distR="0" wp14:anchorId="4F8787CA" wp14:editId="630802FC">
            <wp:extent cx="5715000" cy="571500"/>
            <wp:effectExtent l="0" t="0" r="0" b="0"/>
            <wp:docPr id="942831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571500"/>
                    </a:xfrm>
                    <a:prstGeom prst="rect">
                      <a:avLst/>
                    </a:prstGeom>
                    <a:noFill/>
                    <a:ln>
                      <a:noFill/>
                    </a:ln>
                  </pic:spPr>
                </pic:pic>
              </a:graphicData>
            </a:graphic>
          </wp:inline>
        </w:drawing>
      </w: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4D0EC4" w:rsidRPr="004D0EC4" w14:paraId="2DD5CC92" w14:textId="77777777">
        <w:trPr>
          <w:jc w:val="center"/>
        </w:trPr>
        <w:tc>
          <w:tcPr>
            <w:tcW w:w="0" w:type="auto"/>
            <w:shd w:val="clear" w:color="auto" w:fill="FFFFFF"/>
            <w:tcMar>
              <w:top w:w="0" w:type="dxa"/>
              <w:left w:w="750" w:type="dxa"/>
              <w:bottom w:w="0" w:type="dxa"/>
              <w:right w:w="750" w:type="dxa"/>
            </w:tcMar>
            <w:vAlign w:val="center"/>
            <w:hideMark/>
          </w:tcPr>
          <w:tbl>
            <w:tblPr>
              <w:tblW w:w="7500" w:type="dxa"/>
              <w:jc w:val="center"/>
              <w:shd w:val="clear" w:color="auto" w:fill="FFFFFF"/>
              <w:tblCellMar>
                <w:left w:w="0" w:type="dxa"/>
                <w:right w:w="0" w:type="dxa"/>
              </w:tblCellMar>
              <w:tblLook w:val="04A0" w:firstRow="1" w:lastRow="0" w:firstColumn="1" w:lastColumn="0" w:noHBand="0" w:noVBand="1"/>
            </w:tblPr>
            <w:tblGrid>
              <w:gridCol w:w="7500"/>
            </w:tblGrid>
            <w:tr w:rsidR="004D0EC4" w:rsidRPr="004D0EC4" w14:paraId="352D6240" w14:textId="77777777">
              <w:trPr>
                <w:trHeight w:val="75"/>
                <w:jc w:val="center"/>
              </w:trPr>
              <w:tc>
                <w:tcPr>
                  <w:tcW w:w="7500" w:type="dxa"/>
                  <w:shd w:val="clear" w:color="auto" w:fill="FFFFFF"/>
                  <w:vAlign w:val="center"/>
                  <w:hideMark/>
                </w:tcPr>
                <w:p w14:paraId="1870A9C3" w14:textId="77777777" w:rsidR="004D0EC4" w:rsidRPr="004D0EC4" w:rsidRDefault="004D0EC4" w:rsidP="004D0EC4"/>
              </w:tc>
            </w:tr>
            <w:tr w:rsidR="004D0EC4" w:rsidRPr="004D0EC4" w14:paraId="0D4FEFAA" w14:textId="77777777">
              <w:trPr>
                <w:jc w:val="center"/>
              </w:trPr>
              <w:tc>
                <w:tcPr>
                  <w:tcW w:w="7500" w:type="dxa"/>
                  <w:shd w:val="clear" w:color="auto" w:fill="FFFFFF"/>
                  <w:vAlign w:val="center"/>
                  <w:hideMark/>
                </w:tcPr>
                <w:p w14:paraId="291F04DF" w14:textId="77777777" w:rsidR="004D0EC4" w:rsidRPr="004D0EC4" w:rsidRDefault="004D0EC4" w:rsidP="004D0EC4">
                  <w:r w:rsidRPr="004D0EC4">
                    <w:rPr>
                      <w:b/>
                      <w:bCs/>
                    </w:rPr>
                    <w:t xml:space="preserve">Disclaimer </w:t>
                  </w:r>
                </w:p>
                <w:p w14:paraId="260AADC3" w14:textId="77777777" w:rsidR="004D0EC4" w:rsidRPr="004D0EC4" w:rsidRDefault="004D0EC4" w:rsidP="004D0EC4">
                  <w:r w:rsidRPr="004D0EC4">
                    <w:t>The material contained within this email is provided for general information only, and on the understanding that the Australian Government is not providing professional advice on a particular matter.</w:t>
                  </w:r>
                </w:p>
                <w:p w14:paraId="02B8E803" w14:textId="77777777" w:rsidR="004D0EC4" w:rsidRPr="004D0EC4" w:rsidRDefault="004D0EC4" w:rsidP="004D0EC4">
                  <w:r w:rsidRPr="004D0EC4">
                    <w:t>The material may include the views or recommendations of third parties, and does not necessarily reflect the views of the Australian Government, or indicate a commitment to a particular course of action.</w:t>
                  </w:r>
                </w:p>
                <w:p w14:paraId="0AA96A39" w14:textId="77777777" w:rsidR="004D0EC4" w:rsidRPr="004D0EC4" w:rsidRDefault="004D0EC4" w:rsidP="004D0EC4">
                  <w:r w:rsidRPr="004D0EC4">
                    <w:t>This email may contain information that is intended to simplify the law for ease of comprehension. In addition, errors or omissions can occur during the preparation of this email. Therefore, before relying on the material, users should independently verify its accuracy, completeness, relevance for their purposes and that it is up-to-date.</w:t>
                  </w:r>
                </w:p>
                <w:p w14:paraId="205CC9DA" w14:textId="77777777" w:rsidR="004D0EC4" w:rsidRPr="004D0EC4" w:rsidRDefault="004D0EC4" w:rsidP="004D0EC4">
                  <w:r w:rsidRPr="004D0EC4">
                    <w:t>Before any action or decision is taken on the basis of any material within this email the user should obtain appropriate independent professional advice.</w:t>
                  </w:r>
                </w:p>
                <w:p w14:paraId="22B8830F" w14:textId="77777777" w:rsidR="004D0EC4" w:rsidRPr="004D0EC4" w:rsidRDefault="004D0EC4" w:rsidP="004D0EC4">
                  <w:r w:rsidRPr="004D0EC4">
                    <w:t>Links to websites are provided for the user's convenience and do not constitute endorsement of material at those sites, or any associated organisation, product or service.</w:t>
                  </w:r>
                </w:p>
                <w:p w14:paraId="1B889CFF" w14:textId="77777777" w:rsidR="004D0EC4" w:rsidRPr="004D0EC4" w:rsidRDefault="004D0EC4" w:rsidP="004D0EC4">
                  <w:r w:rsidRPr="004D0EC4">
                    <w:t xml:space="preserve">Recipients of this email are also directed to our </w:t>
                  </w:r>
                  <w:hyperlink r:id="rId21" w:tooltip="Privacy Policy" w:history="1">
                    <w:r w:rsidRPr="004D0EC4">
                      <w:rPr>
                        <w:rStyle w:val="Hyperlink"/>
                      </w:rPr>
                      <w:t>Privacy Policy</w:t>
                    </w:r>
                  </w:hyperlink>
                  <w:r w:rsidRPr="004D0EC4">
                    <w:t>.</w:t>
                  </w:r>
                </w:p>
                <w:p w14:paraId="62FBA9DB" w14:textId="77777777" w:rsidR="004D0EC4" w:rsidRPr="004D0EC4" w:rsidRDefault="004D0EC4" w:rsidP="004D0EC4">
                  <w:r w:rsidRPr="004D0EC4">
                    <w:rPr>
                      <w:b/>
                      <w:bCs/>
                    </w:rPr>
                    <w:t xml:space="preserve">Copyright notice </w:t>
                  </w:r>
                </w:p>
                <w:p w14:paraId="6BB01621" w14:textId="77777777" w:rsidR="004D0EC4" w:rsidRPr="004D0EC4" w:rsidRDefault="004D0EC4" w:rsidP="004D0EC4">
                  <w:r w:rsidRPr="004D0EC4">
                    <w:t>This work is copyright. You may download, display, print and reproduce this material in unaltered forms only (retaining this notice) for your personal, non-commercial user or use within your organisation.</w:t>
                  </w:r>
                </w:p>
                <w:p w14:paraId="5D4DD0CB" w14:textId="77777777" w:rsidR="004D0EC4" w:rsidRPr="004D0EC4" w:rsidRDefault="004D0EC4" w:rsidP="004D0EC4">
                  <w:r w:rsidRPr="004D0EC4">
                    <w:t xml:space="preserve">Apart from any use as permitted under the Copyright Act 1968, all other rights are reserved. </w:t>
                  </w:r>
                  <w:hyperlink r:id="rId22" w:tooltip="Requests and inquiries" w:history="1">
                    <w:r w:rsidRPr="004D0EC4">
                      <w:rPr>
                        <w:rStyle w:val="Hyperlink"/>
                      </w:rPr>
                      <w:t>Requests and inquiries</w:t>
                    </w:r>
                  </w:hyperlink>
                  <w:r w:rsidRPr="004D0EC4">
                    <w:t xml:space="preserve"> concerning reproduction and rights should be addressed to Business Law Branch, Attorney General's Department, Robert Garran Offices, 3-5 National Circuit, Barton ACT 2600 or email </w:t>
                  </w:r>
                  <w:hyperlink r:id="rId23" w:history="1">
                    <w:r w:rsidRPr="004D0EC4">
                      <w:rPr>
                        <w:rStyle w:val="Hyperlink"/>
                      </w:rPr>
                      <w:t>copyright@ag.gov.au</w:t>
                    </w:r>
                  </w:hyperlink>
                  <w:r w:rsidRPr="004D0EC4">
                    <w:t>.</w:t>
                  </w:r>
                </w:p>
              </w:tc>
            </w:tr>
            <w:tr w:rsidR="004D0EC4" w:rsidRPr="004D0EC4" w14:paraId="6AD4EF99" w14:textId="77777777">
              <w:trPr>
                <w:trHeight w:val="75"/>
                <w:jc w:val="center"/>
              </w:trPr>
              <w:tc>
                <w:tcPr>
                  <w:tcW w:w="7500" w:type="dxa"/>
                  <w:shd w:val="clear" w:color="auto" w:fill="FFFFFF"/>
                  <w:vAlign w:val="center"/>
                  <w:hideMark/>
                </w:tcPr>
                <w:p w14:paraId="4EAA0028" w14:textId="77777777" w:rsidR="004D0EC4" w:rsidRPr="004D0EC4" w:rsidRDefault="004D0EC4" w:rsidP="004D0EC4"/>
              </w:tc>
            </w:tr>
          </w:tbl>
          <w:p w14:paraId="05F89E19" w14:textId="77777777" w:rsidR="004D0EC4" w:rsidRPr="004D0EC4" w:rsidRDefault="004D0EC4" w:rsidP="004D0EC4"/>
        </w:tc>
      </w:tr>
    </w:tbl>
    <w:p w14:paraId="1EE3F1A9" w14:textId="77777777" w:rsidR="004D0EC4" w:rsidRPr="00900405" w:rsidRDefault="004D0EC4" w:rsidP="00742F81"/>
    <w:sectPr w:rsidR="004D0EC4" w:rsidRPr="00900405">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06B6" w14:textId="77777777" w:rsidR="005D1AAF" w:rsidRDefault="005D1AAF" w:rsidP="0059377C">
      <w:pPr>
        <w:spacing w:after="0" w:line="240" w:lineRule="auto"/>
      </w:pPr>
      <w:r>
        <w:separator/>
      </w:r>
    </w:p>
  </w:endnote>
  <w:endnote w:type="continuationSeparator" w:id="0">
    <w:p w14:paraId="56D0E95D" w14:textId="77777777" w:rsidR="005D1AAF" w:rsidRDefault="005D1AAF" w:rsidP="0059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237510"/>
      <w:docPartObj>
        <w:docPartGallery w:val="Page Numbers (Bottom of Page)"/>
        <w:docPartUnique/>
      </w:docPartObj>
    </w:sdtPr>
    <w:sdtEndPr>
      <w:rPr>
        <w:noProof/>
      </w:rPr>
    </w:sdtEndPr>
    <w:sdtContent>
      <w:p w14:paraId="214DE147" w14:textId="46184242" w:rsidR="0059377C" w:rsidRDefault="005937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7650D1" w14:textId="77777777" w:rsidR="0059377C" w:rsidRDefault="0059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1639" w14:textId="77777777" w:rsidR="005D1AAF" w:rsidRDefault="005D1AAF" w:rsidP="0059377C">
      <w:pPr>
        <w:spacing w:after="0" w:line="240" w:lineRule="auto"/>
      </w:pPr>
      <w:r>
        <w:separator/>
      </w:r>
    </w:p>
  </w:footnote>
  <w:footnote w:type="continuationSeparator" w:id="0">
    <w:p w14:paraId="506F6791" w14:textId="77777777" w:rsidR="005D1AAF" w:rsidRDefault="005D1AAF" w:rsidP="00593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0F3"/>
    <w:multiLevelType w:val="hybridMultilevel"/>
    <w:tmpl w:val="8202F2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C855FAD"/>
    <w:multiLevelType w:val="multilevel"/>
    <w:tmpl w:val="6C8CB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A6AA1"/>
    <w:multiLevelType w:val="hybridMultilevel"/>
    <w:tmpl w:val="CD142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40046C3"/>
    <w:multiLevelType w:val="hybridMultilevel"/>
    <w:tmpl w:val="903E0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5C83081"/>
    <w:multiLevelType w:val="hybridMultilevel"/>
    <w:tmpl w:val="EE968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5F26925"/>
    <w:multiLevelType w:val="multilevel"/>
    <w:tmpl w:val="F300D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6805"/>
    <w:multiLevelType w:val="multilevel"/>
    <w:tmpl w:val="A2A41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33978"/>
    <w:multiLevelType w:val="multilevel"/>
    <w:tmpl w:val="DF5A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05200"/>
    <w:multiLevelType w:val="hybridMultilevel"/>
    <w:tmpl w:val="05224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A9E6FDA"/>
    <w:multiLevelType w:val="hybridMultilevel"/>
    <w:tmpl w:val="9DD6A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B31724C"/>
    <w:multiLevelType w:val="hybridMultilevel"/>
    <w:tmpl w:val="2AE05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2AD39FA"/>
    <w:multiLevelType w:val="hybridMultilevel"/>
    <w:tmpl w:val="DC729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71144761">
    <w:abstractNumId w:val="3"/>
  </w:num>
  <w:num w:numId="2" w16cid:durableId="347413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35581">
    <w:abstractNumId w:val="4"/>
  </w:num>
  <w:num w:numId="4" w16cid:durableId="1622416795">
    <w:abstractNumId w:val="6"/>
    <w:lvlOverride w:ilvl="0"/>
    <w:lvlOverride w:ilvl="1"/>
    <w:lvlOverride w:ilvl="2"/>
    <w:lvlOverride w:ilvl="3"/>
    <w:lvlOverride w:ilvl="4"/>
    <w:lvlOverride w:ilvl="5"/>
    <w:lvlOverride w:ilvl="6"/>
    <w:lvlOverride w:ilvl="7"/>
    <w:lvlOverride w:ilvl="8"/>
  </w:num>
  <w:num w:numId="5" w16cid:durableId="1538666703">
    <w:abstractNumId w:val="5"/>
    <w:lvlOverride w:ilvl="0"/>
    <w:lvlOverride w:ilvl="1"/>
    <w:lvlOverride w:ilvl="2"/>
    <w:lvlOverride w:ilvl="3"/>
    <w:lvlOverride w:ilvl="4"/>
    <w:lvlOverride w:ilvl="5"/>
    <w:lvlOverride w:ilvl="6"/>
    <w:lvlOverride w:ilvl="7"/>
    <w:lvlOverride w:ilvl="8"/>
  </w:num>
  <w:num w:numId="6" w16cid:durableId="508327134">
    <w:abstractNumId w:val="7"/>
    <w:lvlOverride w:ilvl="0"/>
    <w:lvlOverride w:ilvl="1"/>
    <w:lvlOverride w:ilvl="2"/>
    <w:lvlOverride w:ilvl="3"/>
    <w:lvlOverride w:ilvl="4"/>
    <w:lvlOverride w:ilvl="5"/>
    <w:lvlOverride w:ilvl="6"/>
    <w:lvlOverride w:ilvl="7"/>
    <w:lvlOverride w:ilvl="8"/>
  </w:num>
  <w:num w:numId="7" w16cid:durableId="1875191426">
    <w:abstractNumId w:val="1"/>
    <w:lvlOverride w:ilvl="0"/>
    <w:lvlOverride w:ilvl="1"/>
    <w:lvlOverride w:ilvl="2"/>
    <w:lvlOverride w:ilvl="3"/>
    <w:lvlOverride w:ilvl="4"/>
    <w:lvlOverride w:ilvl="5"/>
    <w:lvlOverride w:ilvl="6"/>
    <w:lvlOverride w:ilvl="7"/>
    <w:lvlOverride w:ilvl="8"/>
  </w:num>
  <w:num w:numId="8" w16cid:durableId="307053753">
    <w:abstractNumId w:val="11"/>
    <w:lvlOverride w:ilvl="0"/>
    <w:lvlOverride w:ilvl="1"/>
    <w:lvlOverride w:ilvl="2"/>
    <w:lvlOverride w:ilvl="3"/>
    <w:lvlOverride w:ilvl="4"/>
    <w:lvlOverride w:ilvl="5"/>
    <w:lvlOverride w:ilvl="6"/>
    <w:lvlOverride w:ilvl="7"/>
    <w:lvlOverride w:ilvl="8"/>
  </w:num>
  <w:num w:numId="9" w16cid:durableId="1416246751">
    <w:abstractNumId w:val="9"/>
    <w:lvlOverride w:ilvl="0"/>
    <w:lvlOverride w:ilvl="1"/>
    <w:lvlOverride w:ilvl="2"/>
    <w:lvlOverride w:ilvl="3"/>
    <w:lvlOverride w:ilvl="4"/>
    <w:lvlOverride w:ilvl="5"/>
    <w:lvlOverride w:ilvl="6"/>
    <w:lvlOverride w:ilvl="7"/>
    <w:lvlOverride w:ilvl="8"/>
  </w:num>
  <w:num w:numId="10" w16cid:durableId="1792436403">
    <w:abstractNumId w:val="10"/>
    <w:lvlOverride w:ilvl="0"/>
    <w:lvlOverride w:ilvl="1"/>
    <w:lvlOverride w:ilvl="2"/>
    <w:lvlOverride w:ilvl="3"/>
    <w:lvlOverride w:ilvl="4"/>
    <w:lvlOverride w:ilvl="5"/>
    <w:lvlOverride w:ilvl="6"/>
    <w:lvlOverride w:ilvl="7"/>
    <w:lvlOverride w:ilvl="8"/>
  </w:num>
  <w:num w:numId="11" w16cid:durableId="58284534">
    <w:abstractNumId w:val="2"/>
    <w:lvlOverride w:ilvl="0"/>
    <w:lvlOverride w:ilvl="1"/>
    <w:lvlOverride w:ilvl="2"/>
    <w:lvlOverride w:ilvl="3"/>
    <w:lvlOverride w:ilvl="4"/>
    <w:lvlOverride w:ilvl="5"/>
    <w:lvlOverride w:ilvl="6"/>
    <w:lvlOverride w:ilvl="7"/>
    <w:lvlOverride w:ilvl="8"/>
  </w:num>
  <w:num w:numId="12" w16cid:durableId="675842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05"/>
    <w:rsid w:val="00124116"/>
    <w:rsid w:val="002E5717"/>
    <w:rsid w:val="003E02E0"/>
    <w:rsid w:val="003F6F95"/>
    <w:rsid w:val="00426D26"/>
    <w:rsid w:val="004B6F5A"/>
    <w:rsid w:val="004D0EC4"/>
    <w:rsid w:val="004D24F5"/>
    <w:rsid w:val="0059377C"/>
    <w:rsid w:val="005D1AAF"/>
    <w:rsid w:val="005F6787"/>
    <w:rsid w:val="0068279B"/>
    <w:rsid w:val="0074088B"/>
    <w:rsid w:val="00742F81"/>
    <w:rsid w:val="00787380"/>
    <w:rsid w:val="007C51EB"/>
    <w:rsid w:val="00884692"/>
    <w:rsid w:val="00895DF9"/>
    <w:rsid w:val="008C3107"/>
    <w:rsid w:val="00900405"/>
    <w:rsid w:val="00953D20"/>
    <w:rsid w:val="0096248D"/>
    <w:rsid w:val="009624C8"/>
    <w:rsid w:val="00A900A4"/>
    <w:rsid w:val="00AA6D61"/>
    <w:rsid w:val="00BA2AD7"/>
    <w:rsid w:val="00BD7E2A"/>
    <w:rsid w:val="00BF22C6"/>
    <w:rsid w:val="00C22128"/>
    <w:rsid w:val="00C46958"/>
    <w:rsid w:val="00C7070C"/>
    <w:rsid w:val="00C71C46"/>
    <w:rsid w:val="00CC4139"/>
    <w:rsid w:val="00D4359C"/>
    <w:rsid w:val="00F44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6AAF"/>
  <w15:chartTrackingRefBased/>
  <w15:docId w15:val="{542DA32C-796B-442E-9F8D-BE3013D9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05"/>
    <w:rPr>
      <w:rFonts w:eastAsiaTheme="majorEastAsia" w:cstheme="majorBidi"/>
      <w:color w:val="272727" w:themeColor="text1" w:themeTint="D8"/>
    </w:rPr>
  </w:style>
  <w:style w:type="paragraph" w:styleId="Title">
    <w:name w:val="Title"/>
    <w:basedOn w:val="Normal"/>
    <w:next w:val="Normal"/>
    <w:link w:val="TitleChar"/>
    <w:uiPriority w:val="10"/>
    <w:qFormat/>
    <w:rsid w:val="00900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05"/>
    <w:pPr>
      <w:spacing w:before="160"/>
      <w:jc w:val="center"/>
    </w:pPr>
    <w:rPr>
      <w:i/>
      <w:iCs/>
      <w:color w:val="404040" w:themeColor="text1" w:themeTint="BF"/>
    </w:rPr>
  </w:style>
  <w:style w:type="character" w:customStyle="1" w:styleId="QuoteChar">
    <w:name w:val="Quote Char"/>
    <w:basedOn w:val="DefaultParagraphFont"/>
    <w:link w:val="Quote"/>
    <w:uiPriority w:val="29"/>
    <w:rsid w:val="00900405"/>
    <w:rPr>
      <w:i/>
      <w:iCs/>
      <w:color w:val="404040" w:themeColor="text1" w:themeTint="BF"/>
    </w:rPr>
  </w:style>
  <w:style w:type="paragraph" w:styleId="ListParagraph">
    <w:name w:val="List Paragraph"/>
    <w:basedOn w:val="Normal"/>
    <w:uiPriority w:val="34"/>
    <w:qFormat/>
    <w:rsid w:val="00900405"/>
    <w:pPr>
      <w:ind w:left="720"/>
      <w:contextualSpacing/>
    </w:pPr>
  </w:style>
  <w:style w:type="character" w:styleId="IntenseEmphasis">
    <w:name w:val="Intense Emphasis"/>
    <w:basedOn w:val="DefaultParagraphFont"/>
    <w:uiPriority w:val="21"/>
    <w:qFormat/>
    <w:rsid w:val="00900405"/>
    <w:rPr>
      <w:i/>
      <w:iCs/>
      <w:color w:val="0F4761" w:themeColor="accent1" w:themeShade="BF"/>
    </w:rPr>
  </w:style>
  <w:style w:type="paragraph" w:styleId="IntenseQuote">
    <w:name w:val="Intense Quote"/>
    <w:basedOn w:val="Normal"/>
    <w:next w:val="Normal"/>
    <w:link w:val="IntenseQuoteChar"/>
    <w:uiPriority w:val="30"/>
    <w:qFormat/>
    <w:rsid w:val="00900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405"/>
    <w:rPr>
      <w:i/>
      <w:iCs/>
      <w:color w:val="0F4761" w:themeColor="accent1" w:themeShade="BF"/>
    </w:rPr>
  </w:style>
  <w:style w:type="character" w:styleId="IntenseReference">
    <w:name w:val="Intense Reference"/>
    <w:basedOn w:val="DefaultParagraphFont"/>
    <w:uiPriority w:val="32"/>
    <w:qFormat/>
    <w:rsid w:val="00900405"/>
    <w:rPr>
      <w:b/>
      <w:bCs/>
      <w:smallCaps/>
      <w:color w:val="0F4761" w:themeColor="accent1" w:themeShade="BF"/>
      <w:spacing w:val="5"/>
    </w:rPr>
  </w:style>
  <w:style w:type="character" w:styleId="Hyperlink">
    <w:name w:val="Hyperlink"/>
    <w:basedOn w:val="DefaultParagraphFont"/>
    <w:uiPriority w:val="99"/>
    <w:unhideWhenUsed/>
    <w:rsid w:val="00900405"/>
    <w:rPr>
      <w:color w:val="467886" w:themeColor="hyperlink"/>
      <w:u w:val="single"/>
    </w:rPr>
  </w:style>
  <w:style w:type="character" w:styleId="UnresolvedMention">
    <w:name w:val="Unresolved Mention"/>
    <w:basedOn w:val="DefaultParagraphFont"/>
    <w:uiPriority w:val="99"/>
    <w:semiHidden/>
    <w:unhideWhenUsed/>
    <w:rsid w:val="00900405"/>
    <w:rPr>
      <w:color w:val="605E5C"/>
      <w:shd w:val="clear" w:color="auto" w:fill="E1DFDD"/>
    </w:rPr>
  </w:style>
  <w:style w:type="character" w:styleId="FollowedHyperlink">
    <w:name w:val="FollowedHyperlink"/>
    <w:basedOn w:val="DefaultParagraphFont"/>
    <w:uiPriority w:val="99"/>
    <w:semiHidden/>
    <w:unhideWhenUsed/>
    <w:rsid w:val="002E5717"/>
    <w:rPr>
      <w:color w:val="96607D" w:themeColor="followedHyperlink"/>
      <w:u w:val="single"/>
    </w:rPr>
  </w:style>
  <w:style w:type="paragraph" w:styleId="Header">
    <w:name w:val="header"/>
    <w:basedOn w:val="Normal"/>
    <w:link w:val="HeaderChar"/>
    <w:uiPriority w:val="99"/>
    <w:unhideWhenUsed/>
    <w:rsid w:val="00593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77C"/>
  </w:style>
  <w:style w:type="paragraph" w:styleId="Footer">
    <w:name w:val="footer"/>
    <w:basedOn w:val="Normal"/>
    <w:link w:val="FooterChar"/>
    <w:uiPriority w:val="99"/>
    <w:unhideWhenUsed/>
    <w:rsid w:val="00593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1321">
      <w:bodyDiv w:val="1"/>
      <w:marLeft w:val="0"/>
      <w:marRight w:val="0"/>
      <w:marTop w:val="0"/>
      <w:marBottom w:val="0"/>
      <w:divBdr>
        <w:top w:val="none" w:sz="0" w:space="0" w:color="auto"/>
        <w:left w:val="none" w:sz="0" w:space="0" w:color="auto"/>
        <w:bottom w:val="none" w:sz="0" w:space="0" w:color="auto"/>
        <w:right w:val="none" w:sz="0" w:space="0" w:color="auto"/>
      </w:divBdr>
    </w:div>
    <w:div w:id="328562786">
      <w:bodyDiv w:val="1"/>
      <w:marLeft w:val="0"/>
      <w:marRight w:val="0"/>
      <w:marTop w:val="0"/>
      <w:marBottom w:val="0"/>
      <w:divBdr>
        <w:top w:val="none" w:sz="0" w:space="0" w:color="auto"/>
        <w:left w:val="none" w:sz="0" w:space="0" w:color="auto"/>
        <w:bottom w:val="none" w:sz="0" w:space="0" w:color="auto"/>
        <w:right w:val="none" w:sz="0" w:space="0" w:color="auto"/>
      </w:divBdr>
    </w:div>
    <w:div w:id="711728360">
      <w:bodyDiv w:val="1"/>
      <w:marLeft w:val="0"/>
      <w:marRight w:val="0"/>
      <w:marTop w:val="0"/>
      <w:marBottom w:val="0"/>
      <w:divBdr>
        <w:top w:val="none" w:sz="0" w:space="0" w:color="auto"/>
        <w:left w:val="none" w:sz="0" w:space="0" w:color="auto"/>
        <w:bottom w:val="none" w:sz="0" w:space="0" w:color="auto"/>
        <w:right w:val="none" w:sz="0" w:space="0" w:color="auto"/>
      </w:divBdr>
    </w:div>
    <w:div w:id="829827472">
      <w:bodyDiv w:val="1"/>
      <w:marLeft w:val="0"/>
      <w:marRight w:val="0"/>
      <w:marTop w:val="0"/>
      <w:marBottom w:val="0"/>
      <w:divBdr>
        <w:top w:val="none" w:sz="0" w:space="0" w:color="auto"/>
        <w:left w:val="none" w:sz="0" w:space="0" w:color="auto"/>
        <w:bottom w:val="none" w:sz="0" w:space="0" w:color="auto"/>
        <w:right w:val="none" w:sz="0" w:space="0" w:color="auto"/>
      </w:divBdr>
    </w:div>
    <w:div w:id="1040282665">
      <w:bodyDiv w:val="1"/>
      <w:marLeft w:val="0"/>
      <w:marRight w:val="0"/>
      <w:marTop w:val="0"/>
      <w:marBottom w:val="0"/>
      <w:divBdr>
        <w:top w:val="none" w:sz="0" w:space="0" w:color="auto"/>
        <w:left w:val="none" w:sz="0" w:space="0" w:color="auto"/>
        <w:bottom w:val="none" w:sz="0" w:space="0" w:color="auto"/>
        <w:right w:val="none" w:sz="0" w:space="0" w:color="auto"/>
      </w:divBdr>
    </w:div>
    <w:div w:id="1780491553">
      <w:bodyDiv w:val="1"/>
      <w:marLeft w:val="0"/>
      <w:marRight w:val="0"/>
      <w:marTop w:val="0"/>
      <w:marBottom w:val="0"/>
      <w:divBdr>
        <w:top w:val="none" w:sz="0" w:space="0" w:color="auto"/>
        <w:left w:val="none" w:sz="0" w:space="0" w:color="auto"/>
        <w:bottom w:val="none" w:sz="0" w:space="0" w:color="auto"/>
        <w:right w:val="none" w:sz="0" w:space="0" w:color="auto"/>
      </w:divBdr>
    </w:div>
    <w:div w:id="1835029796">
      <w:bodyDiv w:val="1"/>
      <w:marLeft w:val="0"/>
      <w:marRight w:val="0"/>
      <w:marTop w:val="0"/>
      <w:marBottom w:val="0"/>
      <w:divBdr>
        <w:top w:val="none" w:sz="0" w:space="0" w:color="auto"/>
        <w:left w:val="none" w:sz="0" w:space="0" w:color="auto"/>
        <w:bottom w:val="none" w:sz="0" w:space="0" w:color="auto"/>
        <w:right w:val="none" w:sz="0" w:space="0" w:color="auto"/>
      </w:divBdr>
    </w:div>
    <w:div w:id="20600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FD41.FE35EC90" TargetMode="External"/><Relationship Id="rId13" Type="http://schemas.openxmlformats.org/officeDocument/2006/relationships/hyperlink" Target="https://click.bulkmail.austrac.gov.au/?qs=eyJkZWtJZCI6IjcyMTJjZWVjLTM2OTEtNDgyZC04ZDMyLWZhZTViZTU4ZDE0YyIsImRla1ZlcnNpb24iOjEsIml2IjoiS2hHT1ltc00yZ3Z2ZXhWNHVPejJYUT09IiwiY2lwaGVyVGV4dCI6IisxdVkzQ3FxcjdraklmVFdkVkdGWmtycERiTVRNMEo0aGRjZUFMRlFoeDduVjV4andFV3UvOGdxK2ZKY1FYQUxmVUtLVzYrSnhrek4zU3BJa2xDbU44RWJPKzhXQWlvUmptSnJETm9MNzNzVmVManM5bDA9IiwiYXV0aFRhZyI6Inhrek4zU3BJa2xDbU44RWJPKzhXQWc9PSJ9" TargetMode="External"/><Relationship Id="rId18" Type="http://schemas.openxmlformats.org/officeDocument/2006/relationships/hyperlink" Target="https://click.bulkmail.austrac.gov.au/?qs=eyJkZWtJZCI6ImM0NzM3OTg5LTU3MDItNDAyZi05OWEzLWY1NTE0ZjA1MWE5OSIsImRla1ZlcnNpb24iOjEsIml2IjoiSXdFdWwrQ2pLK2gwSjlkTjl4d3h3UT09IiwiY2lwaGVyVGV4dCI6InZKVmdWV043NGR6a3VIaHR6R0g4WWJjR0FUY1lVdEFodkNNbGRFN1JpRzRvK2E4MGRkdmFIK0dTTytkdlVwNk5jM0xSd2E4SWtqNVlLRksyRkJPa0FKSk1kNStnL1NNQkxwZmdveXZvZENmWFRmY2NNY0U9IiwiYXV0aFRhZyI6ImtqNVlLRksyRkJPa0FKSk1kNStnL1E9PSJ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lick.bulkmail.austrac.gov.au/?qs=eyJkZWtJZCI6ImE5NjQ3ZDhlLWM1OGMtNDQwZi1iMWM5LTQ2ODQwNjU5NGI1MSIsImRla1ZlcnNpb24iOjEsIml2IjoiVk95ZmtITkYzQUpYc0szdEJienpJQT09IiwiY2lwaGVyVGV4dCI6Ii93WFpDekdqdTZBUlMzanROdEQ1bSsyRkJDNC94c3NXc2o1RWtKQ1duKzBWWmMrdndIbmp1NFY3Ly9qeTFJaEVXeUNPWXQ1QkNmOWRFeFpyRytOVUJtWUo0UDk1eDFUc241QnpSZHdDVjdDdDdRVzg4eUE9IiwiYXV0aFRhZyI6IkNmOWRFeFpyRytOVUJtWUo0UDk1eHc9PSJ9" TargetMode="External"/><Relationship Id="rId7" Type="http://schemas.openxmlformats.org/officeDocument/2006/relationships/image" Target="media/image1.png"/><Relationship Id="rId12" Type="http://schemas.openxmlformats.org/officeDocument/2006/relationships/hyperlink" Target="https://click.bulkmail.austrac.gov.au/?qs=eyJkZWtJZCI6IjUxOTk2ZTk5LWVlYzUtNDk5Yi1iNTYwLTlkMDc1N2JkZTdjYyIsImRla1ZlcnNpb24iOjEsIml2IjoiOWFhdmtMaGhpS2oyeDhFRFFvNWcvQT09IiwiY2lwaGVyVGV4dCI6IjQxVjd1RmVsSFkyeDh3VkxoS0l2NTFoc2pTb2RRTnVTbnFlMnh3czJLNmZnTGJxMUNRbFFjQ3RKaXhjWSt2SldvU3RoSFoya3hlVk1ZMHJLbHhBN2hMN3lKakNUZ3ZXbXI1QzRZWWlvOXNmQkEwS09ZUHc9IiwiYXV0aFRhZyI6InhlVk1ZMHJLbHhBN2hMN3lKakNUZ2c9PSJ9" TargetMode="External"/><Relationship Id="rId17" Type="http://schemas.openxmlformats.org/officeDocument/2006/relationships/hyperlink" Target="https://click.bulkmail.austrac.gov.au/?qs=eyJkZWtJZCI6IjdhMzllYzA4LTM2YWYtNGE3OS05MzJmLTgzZDhkNzg1ZTM3YyIsImRla1ZlcnNpb24iOjEsIml2IjoiL2JnTWJqcFhPeFNCc0k0WFhRMGlUQT09IiwiY2lwaGVyVGV4dCI6IjBwemdUbWdhWlEvV0pobk56ZDZvK3RPemFtUXRmajRnUHVDTkRmRlVPeWlGY3dYUm9CcFZ1enRqQWdneVJQVXlId3U2amVYVWxyaFNEQWJURjl3bnNTQ1hoNk1HRmYyNERHNDZWenNVZ2JDT0YxME5Ja3c9IiwiYXV0aFRhZyI6ImxyaFNEQWJURjl3bnNTQ1hoNk1HRlE9PSJ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ck.bulkmail.austrac.gov.au/?qs=eyJkZWtJZCI6IjRiYzJiZjI2LTVlNmYtNDcwYi1iOTRkLTczMmI5NDdmOTVjNCIsImRla1ZlcnNpb24iOjEsIml2IjoiajRpRHNZaWlRV3dNcm1EZ0pld1gyZz09IiwiY2lwaGVyVGV4dCI6IlZmR3lKZ0w0ODFUTFNocHhuR04vWHpDVzhncEdRS3VmMW5IRDlTcTZBcitTN0plUXpra0JkUGVzY3MyOXc4eDdiMGREZXFrVHVneHRackVuNmNRTkdJOWlnc0xwYTQrSWc3R0lva0ZzREs1ZzRDWHNGOW89IiwiYXV0aFRhZyI6InVneHRackVuNmNRTkdJOWlnc0xwYXc9PSJ9"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ck.bulkmail.austrac.gov.au/?qs=eyJkZWtJZCI6ImU2ZDQ3YmE1LWQ1ZDctNDViMi1iMTM1LThkYmQ2OTg4MmEzMCIsImRla1ZlcnNpb24iOjEsIml2IjoiSWNaOXJmUU9EZGppcmxRdzVxbEJLZz09IiwiY2lwaGVyVGV4dCI6IlJabkFLd2F0cjV4ZFlYbzhtUkFyaWZoVXluR3dGOW9raWRyVS9JVGFUZFM2OTVrNFJPYi91TGhwV2twdEdBeFhyLzlqTXhiN29lbWNNZ2dHY2R5anhrTFBzcWhveXlIR2ZhMzBEZzNZNHE1VU1PYXBRU289IiwiYXV0aFRhZyI6Im9lbWNNZ2dHY2R5anhrTFBzcWhveXc9PSJ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lick.bulkmail.austrac.gov.au/?qs=eyJkZWtJZCI6ImFkM2U0NmZiLTE3MjgtNDNjNy04YzNhLTYxOWQ4NmRlMDY0MCIsImRla1ZlcnNpb24iOjEsIml2IjoicXJ4OXVjRjk0VmMrcWx1RkEraGpXZz09IiwiY2lwaGVyVGV4dCI6ImdRY3Mzb0puUnordEJPYldMQkVmakQwUnJQTjdNMXluSFRPbXRsZktxS1FKMlphNm5SYTRGOWk3enV1YUx3U2Q0S283REw5bVBicmZPUkxFUG1lR1pHay9CbnpPWnFxOGZibkJmZUZYUHFwYmhRUG9ZMW89IiwiYXV0aFRhZyI6IlBicmZPUkxFUG1lR1pHay9CbnpPWmc9PSJ9" TargetMode="External"/><Relationship Id="rId23" Type="http://schemas.openxmlformats.org/officeDocument/2006/relationships/hyperlink" Target="mailto:copyright@ag.gov.au?subject=" TargetMode="External"/><Relationship Id="rId10" Type="http://schemas.openxmlformats.org/officeDocument/2006/relationships/hyperlink" Target="https://click.bulkmail.austrac.gov.au/?qs=eyJkZWtJZCI6IjBmMGI2YzI3LTY2MDgtNDVkMy1hN2YxLTkzMjc4MDgzODAyNiIsImRla1ZlcnNpb24iOjEsIml2IjoiQVNGVE9LOTQ2bTh2R3FmOWVvUWhIQT09IiwiY2lwaGVyVGV4dCI6IkZMWDZlbW5DZE9mUG5UK05pVEZCa3BVMlRTWkl5dEZVRm5oMlhzdVhpY0tobzBqNi90S2tOMnRvRGNreEtaV1k5UGdiY0pkY3p6S0J3Ykx1SnZrMlJmVVVWZlJlL0FFaFV6aXZlT3B2THhxbi9YcUVJUnc9IiwiYXV0aFRhZyI6Inp6S0J3Ykx1SnZrMlJmVVVWZlJlL0E9PSJ9" TargetMode="External"/><Relationship Id="rId19" Type="http://schemas.openxmlformats.org/officeDocument/2006/relationships/hyperlink" Target="https://click.bulkmail.austrac.gov.au/?qs=eyJkZWtJZCI6IjZmNjIxMjQ0LTM5NDgtNGNmYy05OGRhLWJiODJlZWEyNDI1YyIsImRla1ZlcnNpb24iOjEsIml2IjoiS0U1OFhTWkhGNk04L0h6T0EvcWtGQT09IiwiY2lwaGVyVGV4dCI6IlljclZ2UmNlQm1WS05sZ0VLcTdhQ1pKMWNEVlg2SGlKVjNrbWxTQ05OMlIyNk55K09ib0JvRFVsamxhQUt1OUp0ZEdNKzJ1b1ZpMXZGS3RrZGRiKy92amFSKzFZZ2loT2ZGMG1SeGVqUFB4OHpnUDZwQlE9IiwiYXV0aFRhZyI6IlZpMXZGS3RrZGRiKy92amFSKzFZZ2c9PSJ9" TargetMode="External"/><Relationship Id="rId4" Type="http://schemas.openxmlformats.org/officeDocument/2006/relationships/webSettings" Target="webSettings.xml"/><Relationship Id="rId9" Type="http://schemas.openxmlformats.org/officeDocument/2006/relationships/hyperlink" Target="https://click.bulkmail.austrac.gov.au/?qs=eyJkZWtJZCI6ImY3YjlkY2QwLWI3Y2EtNDkzMi04Y2QwLTA0MWMwYTMyNmIyZSIsImRla1ZlcnNpb24iOjEsIml2IjoieFNUek5iQnhjdkd6OTdSdXZUTFVQUT09IiwiY2lwaGVyVGV4dCI6InBJQVNnbUJGaUZwSXFZdkREZk5wREI0eUp4MEUrQldKQ2F3WG5pbDJPZkh4UzdnWTR2cTFETWJpV3EybGNydUxDbm43dW1IYklpcG5kV1ZyaHhFckFUMFF2ZHlRbjhVazh6V3djWEx4cy9lMGJyMHkxRDA9IiwiYXV0aFRhZyI6IklpcG5kV1ZyaHhFckFUMFF2ZHlRbnc9PSJ9" TargetMode="External"/><Relationship Id="rId14" Type="http://schemas.openxmlformats.org/officeDocument/2006/relationships/hyperlink" Target="https://click.bulkmail.austrac.gov.au/?qs=eyJkZWtJZCI6ImNjMDQ0YmZkLTZkZTEtNGZhOS1iNWEzLTQ3ODJmYTUyMjVjMSIsImRla1ZlcnNpb24iOjEsIml2IjoiOXI5Z3Zud2RnQ2pGU3Z3Umo5VG8zZz09IiwiY2lwaGVyVGV4dCI6IktRMGU0VXdqZ2sxM2lkWGdOZk9Sd1UvOFd4WlFhblVHSy9zNStUeXV1ZVNvaEZ4am1jdjJWWk83Q2s2Rmo2NkZwTUFQU0NZd1BSNWIyQWNaQzM4dnh5TWh6cFJtZlBhL1lMNThIWUFveFVyOEVZL1U2TjQ9IiwiYXV0aFRhZyI6IlBSNWIyQWNaQzM4dnh5TWh6cFJtZkE9PSJ9" TargetMode="External"/><Relationship Id="rId22" Type="http://schemas.openxmlformats.org/officeDocument/2006/relationships/hyperlink" Target="https://click.bulkmail.austrac.gov.au/?qs=eyJkZWtJZCI6IjM0Mzc0NzZjLWE1ODMtNGY2OS1hOTFkLTk1ODViZGNiMzgwNCIsImRla1ZlcnNpb24iOjEsIml2IjoiMjRQV253dWQ1bWp4b0tyVG44UXZkQT09IiwiY2lwaGVyVGV4dCI6ImhOL01qNU9QUUhqc05WdDF4TTNCdGQvcldHSllrVzJBTzhWZmxpb1BUWXluc3h0RWdPQWZvUUgycUpnSW1kVkZNYXJlQ1VXVEYrdFpsRUZDdXl5dXloYll4eU55ZTl1RDFwOExuZVpvOGFDcTA1L0VMM1E9IiwiYXV0aFRhZyI6IkYrdFpsRUZDdXl5dXloYll4eU55ZXc9PS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2978</Words>
  <Characters>15726</Characters>
  <Application>Microsoft Office Word</Application>
  <DocSecurity>0</DocSecurity>
  <Lines>302</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Bright</dc:creator>
  <cp:keywords/>
  <dc:description/>
  <cp:lastModifiedBy>Sarah Bright</cp:lastModifiedBy>
  <cp:revision>9</cp:revision>
  <dcterms:created xsi:type="dcterms:W3CDTF">2026-01-27T01:40:00Z</dcterms:created>
  <dcterms:modified xsi:type="dcterms:W3CDTF">2026-01-27T01:52:00Z</dcterms:modified>
</cp:coreProperties>
</file>